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002.0" w:type="dxa"/>
        <w:jc w:val="left"/>
        <w:tblInd w:w="0.0" w:type="pct"/>
        <w:tblBorders>
          <w:top w:color="231f20" w:space="0" w:sz="2" w:val="single"/>
          <w:left w:color="231f20" w:space="0" w:sz="2" w:val="single"/>
          <w:bottom w:color="231f20" w:space="0" w:sz="2" w:val="single"/>
          <w:right w:color="231f20" w:space="0" w:sz="2" w:val="single"/>
          <w:insideH w:color="231f20" w:space="0" w:sz="2" w:val="single"/>
          <w:insideV w:color="231f20" w:space="0" w:sz="2" w:val="single"/>
        </w:tblBorders>
        <w:tblLayout w:type="fixed"/>
        <w:tblLook w:val="0000"/>
      </w:tblPr>
      <w:tblGrid>
        <w:gridCol w:w="2567"/>
        <w:gridCol w:w="5245"/>
        <w:gridCol w:w="2190"/>
        <w:tblGridChange w:id="0">
          <w:tblGrid>
            <w:gridCol w:w="2567"/>
            <w:gridCol w:w="5245"/>
            <w:gridCol w:w="2190"/>
          </w:tblGrid>
        </w:tblGridChange>
      </w:tblGrid>
      <w:tr>
        <w:trPr>
          <w:trHeight w:val="401" w:hRule="atLeast"/>
        </w:trPr>
        <w:tc>
          <w:tcPr>
            <w:gridSpan w:val="2"/>
            <w:tcBorders>
              <w:top w:color="231f20" w:space="0" w:sz="12" w:val="single"/>
              <w:left w:color="231f20" w:space="0" w:sz="12" w:val="single"/>
              <w:bottom w:color="231f20" w:space="0" w:sz="12" w:val="single"/>
              <w:right w:color="231f20" w:space="0" w:sz="12" w:val="single"/>
            </w:tcBorders>
            <w:shd w:fill="d9d9d9" w:val="clear"/>
          </w:tcPr>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28" w:right="979"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FICHA DE LECTURA</w:t>
            </w:r>
          </w:p>
        </w:tc>
        <w:tc>
          <w:tcPr>
            <w:tcBorders>
              <w:top w:color="231f20" w:space="0" w:sz="12" w:val="single"/>
              <w:left w:color="231f20" w:space="0" w:sz="12" w:val="single"/>
              <w:bottom w:color="231f20" w:space="0" w:sz="12" w:val="single"/>
              <w:right w:color="231f20" w:space="0" w:sz="12" w:val="single"/>
            </w:tcBorders>
            <w:shd w:fill="6d9eeb" w:val="clear"/>
          </w:tcPr>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28" w:right="64" w:firstLine="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FICHA N°: HIGIENISMO</w:t>
            </w:r>
            <w:r w:rsidDel="00000000" w:rsidR="00000000" w:rsidRPr="00000000">
              <w:rPr>
                <w:rtl w:val="0"/>
              </w:rPr>
            </w:r>
          </w:p>
        </w:tc>
      </w:tr>
      <w:tr>
        <w:trPr>
          <w:trHeight w:val="824" w:hRule="atLeast"/>
        </w:trPr>
        <w:tc>
          <w:tcPr>
            <w:tcBorders>
              <w:left w:color="231f20" w:space="0" w:sz="12" w:val="single"/>
              <w:bottom w:color="231f20" w:space="0" w:sz="12" w:val="single"/>
              <w:right w:color="231f20" w:space="0" w:sz="12" w:val="single"/>
            </w:tcBorders>
          </w:tcPr>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5" w:right="979"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Equipo de alumnos</w:t>
            </w:r>
          </w:p>
        </w:tc>
        <w:tc>
          <w:tcPr>
            <w:tcBorders>
              <w:top w:color="231f20" w:space="0" w:sz="12" w:val="single"/>
              <w:left w:color="231f20" w:space="0" w:sz="12" w:val="single"/>
              <w:bottom w:color="231f20" w:space="0" w:sz="12" w:val="single"/>
              <w:right w:color="231f20" w:space="0" w:sz="12" w:val="single"/>
            </w:tcBorders>
          </w:tcPr>
          <w:p w:rsidR="00000000" w:rsidDel="00000000" w:rsidP="00000000" w:rsidRDefault="00000000" w:rsidRPr="00000000" w14:paraId="00000006">
            <w:pPr>
              <w:ind w:left="142" w:right="3" w:firstLine="0"/>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i w:val="1"/>
                <w:color w:val="939598"/>
                <w:sz w:val="24"/>
                <w:szCs w:val="24"/>
                <w:rtl w:val="0"/>
              </w:rPr>
              <w:t xml:space="preserve">Fernanda Cabezón, Dayaneth Campos, Javiera Letelier, Luis Martínez, Cristian Villagrán.</w:t>
            </w:r>
            <w:r w:rsidDel="00000000" w:rsidR="00000000" w:rsidRPr="00000000">
              <w:rPr>
                <w:rtl w:val="0"/>
              </w:rPr>
            </w:r>
          </w:p>
        </w:tc>
        <w:tc>
          <w:tcPr>
            <w:tcBorders>
              <w:top w:color="231f20" w:space="0" w:sz="12" w:val="single"/>
              <w:left w:color="231f20" w:space="0" w:sz="12" w:val="single"/>
              <w:bottom w:color="231f20" w:space="0" w:sz="12" w:val="single"/>
              <w:right w:color="231f20" w:space="0" w:sz="12" w:val="single"/>
            </w:tcBorders>
          </w:tcPr>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1"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Fecha entrega:</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1" w:right="0" w:firstLine="0"/>
              <w:jc w:val="left"/>
              <w:rPr>
                <w:b w:val="1"/>
              </w:rPr>
            </w:pPr>
            <w:r w:rsidDel="00000000" w:rsidR="00000000" w:rsidRPr="00000000">
              <w:rPr>
                <w:b w:val="1"/>
                <w:rtl w:val="0"/>
              </w:rPr>
              <w:t xml:space="preserve">13 Diciembre 2020</w:t>
            </w:r>
          </w:p>
        </w:tc>
      </w:tr>
      <w:tr>
        <w:trPr>
          <w:trHeight w:val="824" w:hRule="atLeast"/>
        </w:trPr>
        <w:tc>
          <w:tcPr>
            <w:tcBorders>
              <w:top w:color="231f20" w:space="0" w:sz="12" w:val="single"/>
              <w:left w:color="231f20" w:space="0" w:sz="12" w:val="single"/>
              <w:bottom w:color="231f20" w:space="0" w:sz="12" w:val="single"/>
              <w:right w:color="231f20" w:space="0" w:sz="12" w:val="single"/>
            </w:tcBorders>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5" w:right="979"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Referencia bibliográfica</w:t>
            </w:r>
          </w:p>
        </w:tc>
        <w:tc>
          <w:tcPr>
            <w:gridSpan w:val="2"/>
            <w:tcBorders>
              <w:top w:color="231f20" w:space="0" w:sz="12" w:val="single"/>
              <w:left w:color="231f20" w:space="0" w:sz="12" w:val="single"/>
              <w:bottom w:color="231f20" w:space="0" w:sz="12" w:val="single"/>
              <w:right w:color="231f20" w:space="0" w:sz="12" w:val="single"/>
            </w:tcBorders>
          </w:tcPr>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2" w:right="0" w:firstLine="0"/>
              <w:jc w:val="left"/>
              <w:rPr>
                <w:i w:val="1"/>
                <w:color w:val="939598"/>
                <w:sz w:val="24"/>
                <w:szCs w:val="24"/>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i w:val="1"/>
                <w:color w:val="939598"/>
                <w:sz w:val="24"/>
                <w:szCs w:val="24"/>
                <w:rtl w:val="0"/>
              </w:rPr>
              <w:t xml:space="preserve">H. Behm Rosas (1939). El problema de la habitación mínima. Santiago de Chile. (1)</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2" w:right="0" w:firstLine="0"/>
              <w:jc w:val="left"/>
              <w:rPr>
                <w:i w:val="1"/>
                <w:color w:val="939598"/>
                <w:sz w:val="24"/>
                <w:szCs w:val="24"/>
              </w:rPr>
            </w:pPr>
            <w:r w:rsidDel="00000000" w:rsidR="00000000" w:rsidRPr="00000000">
              <w:rPr>
                <w:rtl w:val="0"/>
              </w:rPr>
            </w:r>
          </w:p>
          <w:p w:rsidR="00000000" w:rsidDel="00000000" w:rsidP="00000000" w:rsidRDefault="00000000" w:rsidRPr="00000000" w14:paraId="0000000C">
            <w:pPr>
              <w:ind w:right="3"/>
              <w:rPr>
                <w:i w:val="1"/>
                <w:color w:val="939598"/>
                <w:sz w:val="24"/>
                <w:szCs w:val="24"/>
              </w:rPr>
            </w:pPr>
            <w:r w:rsidDel="00000000" w:rsidR="00000000" w:rsidRPr="00000000">
              <w:rPr>
                <w:i w:val="1"/>
                <w:color w:val="939598"/>
                <w:sz w:val="24"/>
                <w:szCs w:val="24"/>
                <w:rtl w:val="0"/>
              </w:rPr>
              <w:t xml:space="preserve"> Hidalgo, R. Vivienda social y espacio urbano en Santiago de Chile. Una mirada retrospectiva a la acción del Estado en las primeras décadas del Siglo XX. Revista eure (Vol. XXVIII, Nº 83), pp. 83-106, Santiago de Chile, mayo 2002.</w:t>
            </w:r>
          </w:p>
          <w:p w:rsidR="00000000" w:rsidDel="00000000" w:rsidP="00000000" w:rsidRDefault="00000000" w:rsidRPr="00000000" w14:paraId="0000000D">
            <w:pPr>
              <w:ind w:left="142" w:right="3" w:firstLine="0"/>
              <w:rPr>
                <w:i w:val="1"/>
                <w:color w:val="939598"/>
                <w:sz w:val="24"/>
                <w:szCs w:val="24"/>
              </w:rPr>
            </w:pPr>
            <w:r w:rsidDel="00000000" w:rsidR="00000000" w:rsidRPr="00000000">
              <w:rPr>
                <w:rtl w:val="0"/>
              </w:rPr>
            </w:r>
          </w:p>
          <w:p w:rsidR="00000000" w:rsidDel="00000000" w:rsidP="00000000" w:rsidRDefault="00000000" w:rsidRPr="00000000" w14:paraId="0000000E">
            <w:pPr>
              <w:ind w:left="142" w:firstLine="0"/>
              <w:rPr>
                <w:i w:val="1"/>
                <w:color w:val="939598"/>
                <w:sz w:val="24"/>
                <w:szCs w:val="24"/>
              </w:rPr>
            </w:pPr>
            <w:r w:rsidDel="00000000" w:rsidR="00000000" w:rsidRPr="00000000">
              <w:rPr>
                <w:i w:val="1"/>
                <w:color w:val="999999"/>
                <w:sz w:val="24"/>
                <w:szCs w:val="24"/>
                <w:rtl w:val="0"/>
              </w:rPr>
              <w:t xml:space="preserve">Benévolo, L (1963), “Le Origini dell’Urbanistica Moderna” Roma Bari, </w:t>
            </w:r>
            <w:r w:rsidDel="00000000" w:rsidR="00000000" w:rsidRPr="00000000">
              <w:rPr>
                <w:i w:val="1"/>
                <w:color w:val="999999"/>
                <w:sz w:val="24"/>
                <w:szCs w:val="24"/>
                <w:rtl w:val="0"/>
              </w:rPr>
              <w:t xml:space="preserve">H Blume</w:t>
            </w:r>
            <w:r w:rsidDel="00000000" w:rsidR="00000000" w:rsidRPr="00000000">
              <w:rPr>
                <w:i w:val="1"/>
                <w:color w:val="999999"/>
                <w:sz w:val="24"/>
                <w:szCs w:val="24"/>
                <w:rtl w:val="0"/>
              </w:rPr>
              <w:t xml:space="preserve"> Ediciones.</w:t>
            </w:r>
            <w:r w:rsidDel="00000000" w:rsidR="00000000" w:rsidRPr="00000000">
              <w:rPr>
                <w:rtl w:val="0"/>
              </w:rPr>
            </w:r>
          </w:p>
        </w:tc>
      </w:tr>
      <w:tr>
        <w:trPr>
          <w:trHeight w:val="734" w:hRule="atLeast"/>
        </w:trPr>
        <w:tc>
          <w:tcPr>
            <w:tcBorders>
              <w:top w:color="231f20" w:space="0" w:sz="12" w:val="single"/>
              <w:left w:color="231f20" w:space="0" w:sz="12" w:val="single"/>
              <w:bottom w:color="231f20" w:space="0" w:sz="12" w:val="single"/>
              <w:right w:color="231f20" w:space="0" w:sz="12" w:val="single"/>
            </w:tcBorders>
          </w:tcPr>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Problema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identificado</w:t>
            </w:r>
          </w:p>
        </w:tc>
        <w:tc>
          <w:tcPr>
            <w:gridSpan w:val="2"/>
            <w:tcBorders>
              <w:top w:color="231f20" w:space="0" w:sz="12" w:val="single"/>
              <w:left w:color="231f20" w:space="0" w:sz="12" w:val="single"/>
              <w:bottom w:color="231f20" w:space="0" w:sz="12" w:val="single"/>
              <w:right w:color="231f20" w:space="0" w:sz="12" w:val="single"/>
            </w:tcBorders>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888" w:firstLine="0"/>
              <w:jc w:val="both"/>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i w:val="1"/>
                <w:color w:val="939598"/>
                <w:sz w:val="24"/>
                <w:szCs w:val="24"/>
                <w:rtl w:val="0"/>
              </w:rPr>
              <w:t xml:space="preserve"> </w:t>
            </w: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2" w:right="888" w:firstLine="0"/>
              <w:jc w:val="left"/>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tc>
      </w:tr>
      <w:tr>
        <w:trPr>
          <w:trHeight w:val="623" w:hRule="atLeast"/>
        </w:trPr>
        <w:tc>
          <w:tcPr>
            <w:tcBorders>
              <w:top w:color="231f20" w:space="0" w:sz="12" w:val="single"/>
              <w:left w:color="231f20" w:space="0" w:sz="12" w:val="single"/>
              <w:bottom w:color="231f20" w:space="0" w:sz="12" w:val="single"/>
              <w:right w:color="231f20" w:space="0" w:sz="12" w:val="single"/>
            </w:tcBorders>
          </w:tcPr>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Citas representativas </w:t>
            </w:r>
          </w:p>
        </w:tc>
        <w:tc>
          <w:tcPr>
            <w:gridSpan w:val="2"/>
            <w:tcBorders>
              <w:top w:color="231f20" w:space="0" w:sz="12" w:val="single"/>
              <w:left w:color="231f20" w:space="0" w:sz="12" w:val="single"/>
              <w:bottom w:color="231f20" w:space="0" w:sz="12" w:val="single"/>
              <w:right w:color="231f20" w:space="0" w:sz="12" w:val="single"/>
            </w:tcBorders>
          </w:tcPr>
          <w:p w:rsidR="00000000" w:rsidDel="00000000" w:rsidP="00000000" w:rsidRDefault="00000000" w:rsidRPr="00000000" w14:paraId="00000016">
            <w:pPr>
              <w:ind w:right="888"/>
              <w:jc w:val="both"/>
              <w:rPr>
                <w:i w:val="1"/>
                <w:color w:val="666666"/>
                <w:sz w:val="24"/>
                <w:szCs w:val="24"/>
              </w:rPr>
            </w:pPr>
            <w:r w:rsidDel="00000000" w:rsidR="00000000" w:rsidRPr="00000000">
              <w:rPr>
                <w:i w:val="1"/>
                <w:color w:val="939598"/>
                <w:sz w:val="24"/>
                <w:szCs w:val="24"/>
                <w:rtl w:val="0"/>
              </w:rPr>
              <w:t xml:space="preserve">“La estrechez e insalubridad de las viviendas obliga a los niños a pasar todo el día en la calle y repele asimismo al padre que busca un momento de reposo, en unión de los suyos, al término de la jornada diaria. Por otra parte, a las condiciones negativas de la habitación se acentúa la miseria cultural, moral y material que afecta al obrero.”</w:t>
            </w:r>
            <w:r w:rsidDel="00000000" w:rsidR="00000000" w:rsidRPr="00000000">
              <w:rPr>
                <w:i w:val="1"/>
                <w:color w:val="666666"/>
                <w:sz w:val="24"/>
                <w:szCs w:val="24"/>
                <w:rtl w:val="0"/>
              </w:rPr>
              <w:t xml:space="preserve"> El problema de la habitación mínima (pág 54).</w:t>
            </w:r>
          </w:p>
          <w:p w:rsidR="00000000" w:rsidDel="00000000" w:rsidP="00000000" w:rsidRDefault="00000000" w:rsidRPr="00000000" w14:paraId="00000017">
            <w:pPr>
              <w:ind w:right="888"/>
              <w:jc w:val="both"/>
              <w:rPr>
                <w:i w:val="1"/>
                <w:color w:val="666666"/>
                <w:sz w:val="24"/>
                <w:szCs w:val="24"/>
              </w:rPr>
            </w:pPr>
            <w:r w:rsidDel="00000000" w:rsidR="00000000" w:rsidRPr="00000000">
              <w:rPr>
                <w:rtl w:val="0"/>
              </w:rPr>
            </w:r>
          </w:p>
          <w:p w:rsidR="00000000" w:rsidDel="00000000" w:rsidP="00000000" w:rsidRDefault="00000000" w:rsidRPr="00000000" w14:paraId="00000018">
            <w:pPr>
              <w:ind w:right="888"/>
              <w:jc w:val="both"/>
              <w:rPr>
                <w:i w:val="1"/>
                <w:color w:val="999999"/>
                <w:sz w:val="24"/>
                <w:szCs w:val="24"/>
              </w:rPr>
            </w:pPr>
            <w:r w:rsidDel="00000000" w:rsidR="00000000" w:rsidRPr="00000000">
              <w:rPr>
                <w:i w:val="1"/>
                <w:color w:val="999999"/>
                <w:sz w:val="24"/>
                <w:szCs w:val="24"/>
                <w:rtl w:val="0"/>
              </w:rPr>
              <w:t xml:space="preserve">“El Dr. Federico Humbert expone que, en una encuesta escocesa, se</w:t>
            </w:r>
          </w:p>
          <w:p w:rsidR="00000000" w:rsidDel="00000000" w:rsidP="00000000" w:rsidRDefault="00000000" w:rsidRPr="00000000" w14:paraId="00000019">
            <w:pPr>
              <w:ind w:right="888"/>
              <w:jc w:val="both"/>
              <w:rPr>
                <w:i w:val="1"/>
                <w:color w:val="999999"/>
                <w:sz w:val="24"/>
                <w:szCs w:val="24"/>
              </w:rPr>
            </w:pPr>
            <w:r w:rsidDel="00000000" w:rsidR="00000000" w:rsidRPr="00000000">
              <w:rPr>
                <w:i w:val="1"/>
                <w:color w:val="999999"/>
                <w:sz w:val="24"/>
                <w:szCs w:val="24"/>
                <w:rtl w:val="0"/>
              </w:rPr>
              <w:t xml:space="preserve">comprobó que para los niños de 5 a 13 años, cuyas familias ocupaban de a una pieza, la estatura era de 1.118 m., mientras que en los niños de familia que disponían de cuatro piezas por familia, la estatura era de 1.303, (95). En cuanto a la resolución de la mortalidad con la insalubridad de la vivienda, ya en Francia se ha determinado que "la mortalidad anual de los sectores insalubres es el doble de la mortalidad general de París" </w:t>
            </w:r>
            <w:r w:rsidDel="00000000" w:rsidR="00000000" w:rsidRPr="00000000">
              <w:rPr>
                <w:i w:val="1"/>
                <w:color w:val="666666"/>
                <w:sz w:val="24"/>
                <w:szCs w:val="24"/>
                <w:rtl w:val="0"/>
              </w:rPr>
              <w:t xml:space="preserve">El problema de la habitación mínima (pág 58).</w:t>
            </w:r>
            <w:r w:rsidDel="00000000" w:rsidR="00000000" w:rsidRPr="00000000">
              <w:rPr>
                <w:rtl w:val="0"/>
              </w:rPr>
            </w:r>
          </w:p>
          <w:p w:rsidR="00000000" w:rsidDel="00000000" w:rsidP="00000000" w:rsidRDefault="00000000" w:rsidRPr="00000000" w14:paraId="0000001A">
            <w:pPr>
              <w:ind w:right="888"/>
              <w:jc w:val="both"/>
              <w:rPr>
                <w:i w:val="1"/>
                <w:color w:val="666666"/>
                <w:sz w:val="24"/>
                <w:szCs w:val="24"/>
              </w:rPr>
            </w:pPr>
            <w:r w:rsidDel="00000000" w:rsidR="00000000" w:rsidRPr="00000000">
              <w:rPr>
                <w:rtl w:val="0"/>
              </w:rPr>
            </w:r>
          </w:p>
          <w:p w:rsidR="00000000" w:rsidDel="00000000" w:rsidP="00000000" w:rsidRDefault="00000000" w:rsidRPr="00000000" w14:paraId="0000001B">
            <w:pPr>
              <w:ind w:right="888"/>
              <w:jc w:val="both"/>
              <w:rPr>
                <w:i w:val="1"/>
                <w:color w:val="666666"/>
                <w:sz w:val="24"/>
                <w:szCs w:val="24"/>
              </w:rPr>
            </w:pPr>
            <w:r w:rsidDel="00000000" w:rsidR="00000000" w:rsidRPr="00000000">
              <w:rPr>
                <w:rtl w:val="0"/>
              </w:rPr>
            </w:r>
          </w:p>
          <w:p w:rsidR="00000000" w:rsidDel="00000000" w:rsidP="00000000" w:rsidRDefault="00000000" w:rsidRPr="00000000" w14:paraId="0000001C">
            <w:pPr>
              <w:ind w:right="888"/>
              <w:jc w:val="both"/>
              <w:rPr>
                <w:i w:val="1"/>
                <w:color w:val="666666"/>
                <w:sz w:val="24"/>
                <w:szCs w:val="24"/>
              </w:rPr>
            </w:pPr>
            <w:r w:rsidDel="00000000" w:rsidR="00000000" w:rsidRPr="00000000">
              <w:rPr>
                <w:i w:val="1"/>
                <w:color w:val="939598"/>
                <w:sz w:val="24"/>
                <w:szCs w:val="24"/>
                <w:rtl w:val="0"/>
              </w:rPr>
              <w:t xml:space="preserve">“El DFZ. 33, de 1931. estableció en su art. 94 que, sin perjuicio y las disposiciones de la ley 1838, el Presidente de la República fijaría los plazos dentro de los cuales las viviendas unifamiliares que se construyeran de acuerdo con ese DFL debían cumplir con las condiciones de higiene y salubridad que mencionaría el respectivo reglamento.” </w:t>
            </w:r>
            <w:r w:rsidDel="00000000" w:rsidR="00000000" w:rsidRPr="00000000">
              <w:rPr>
                <w:i w:val="1"/>
                <w:color w:val="666666"/>
                <w:sz w:val="24"/>
                <w:szCs w:val="24"/>
                <w:rtl w:val="0"/>
              </w:rPr>
              <w:t xml:space="preserve">El problema de la habitación mínima (pág 64).</w:t>
            </w:r>
          </w:p>
          <w:p w:rsidR="00000000" w:rsidDel="00000000" w:rsidP="00000000" w:rsidRDefault="00000000" w:rsidRPr="00000000" w14:paraId="0000001D">
            <w:pPr>
              <w:ind w:right="888"/>
              <w:jc w:val="both"/>
              <w:rPr>
                <w:i w:val="1"/>
                <w:color w:val="666666"/>
                <w:sz w:val="24"/>
                <w:szCs w:val="24"/>
              </w:rPr>
            </w:pPr>
            <w:r w:rsidDel="00000000" w:rsidR="00000000" w:rsidRPr="00000000">
              <w:rPr>
                <w:rtl w:val="0"/>
              </w:rPr>
            </w:r>
          </w:p>
          <w:p w:rsidR="00000000" w:rsidDel="00000000" w:rsidP="00000000" w:rsidRDefault="00000000" w:rsidRPr="00000000" w14:paraId="0000001E">
            <w:pPr>
              <w:ind w:right="888"/>
              <w:jc w:val="both"/>
              <w:rPr>
                <w:i w:val="1"/>
                <w:color w:val="939598"/>
                <w:sz w:val="24"/>
                <w:szCs w:val="24"/>
              </w:rPr>
            </w:pPr>
            <w:r w:rsidDel="00000000" w:rsidR="00000000" w:rsidRPr="00000000">
              <w:rPr>
                <w:i w:val="1"/>
                <w:color w:val="666666"/>
                <w:sz w:val="24"/>
                <w:szCs w:val="24"/>
                <w:rtl w:val="0"/>
              </w:rPr>
              <w:t xml:space="preserve">“La puesta en marcha de medidas de salubridad en las ciudades eran especialmente urgentes, apuntándose "que era la hora propicia para emprender la tarea de una ley sobre higiene pública" (Illanes, 1993)” </w:t>
            </w:r>
            <w:r w:rsidDel="00000000" w:rsidR="00000000" w:rsidRPr="00000000">
              <w:rPr>
                <w:i w:val="1"/>
                <w:color w:val="939598"/>
                <w:sz w:val="24"/>
                <w:szCs w:val="24"/>
                <w:rtl w:val="0"/>
              </w:rPr>
              <w:t xml:space="preserve">Vivienda social y espacio urbano en Santiago de Chile. (pág 87).</w:t>
            </w:r>
          </w:p>
          <w:p w:rsidR="00000000" w:rsidDel="00000000" w:rsidP="00000000" w:rsidRDefault="00000000" w:rsidRPr="00000000" w14:paraId="0000001F">
            <w:pPr>
              <w:ind w:right="888"/>
              <w:jc w:val="both"/>
              <w:rPr>
                <w:i w:val="1"/>
                <w:color w:val="939598"/>
                <w:sz w:val="24"/>
                <w:szCs w:val="24"/>
              </w:rPr>
            </w:pPr>
            <w:r w:rsidDel="00000000" w:rsidR="00000000" w:rsidRPr="00000000">
              <w:rPr>
                <w:rtl w:val="0"/>
              </w:rPr>
            </w:r>
          </w:p>
          <w:p w:rsidR="00000000" w:rsidDel="00000000" w:rsidP="00000000" w:rsidRDefault="00000000" w:rsidRPr="00000000" w14:paraId="00000020">
            <w:pPr>
              <w:ind w:right="888"/>
              <w:jc w:val="both"/>
              <w:rPr>
                <w:i w:val="1"/>
                <w:color w:val="939598"/>
                <w:sz w:val="24"/>
                <w:szCs w:val="24"/>
              </w:rPr>
            </w:pPr>
            <w:r w:rsidDel="00000000" w:rsidR="00000000" w:rsidRPr="00000000">
              <w:rPr>
                <w:i w:val="1"/>
                <w:color w:val="939598"/>
                <w:sz w:val="24"/>
                <w:szCs w:val="24"/>
                <w:rtl w:val="0"/>
              </w:rPr>
              <w:t xml:space="preserve">“(...) se manifestó en el tránsito desde una "policía de aseo local", encargada de velar por la aplicación de los reglamentos de higiene e inspeccionar "focos insalubres", a una política general de higiene y saneamiento ambiental. En 1887 se formó la Junta General de Salubridad, con sedes locales en ciudades y provincias. Esta junta devino en 1892 en el Consejo Superior de Higiene Pública, el cual posteriormente fue incorporado como ente consultivo del Consejo Superior de Habitaciones Obreras, constituido a partir de la Ley de Habitaciones Obreras de 1906.” Vivienda social y espacio urbano en Santiago de Chile. (pág 87).</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2" w:right="0" w:firstLine="0"/>
              <w:jc w:val="left"/>
              <w:rPr>
                <w:i w:val="1"/>
                <w:color w:val="939598"/>
                <w:sz w:val="24"/>
                <w:szCs w:val="24"/>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2" w:right="0" w:firstLine="0"/>
              <w:jc w:val="left"/>
              <w:rPr>
                <w:rFonts w:ascii="Calibri" w:cs="Calibri" w:eastAsia="Calibri" w:hAnsi="Calibri"/>
                <w:b w:val="0"/>
                <w:i w:val="1"/>
                <w:smallCaps w:val="0"/>
                <w:strike w:val="0"/>
                <w:color w:val="939598"/>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2" w:right="0" w:firstLine="0"/>
              <w:jc w:val="left"/>
              <w:rPr>
                <w:rFonts w:ascii="Calibri" w:cs="Calibri" w:eastAsia="Calibri" w:hAnsi="Calibri"/>
                <w:b w:val="0"/>
                <w:i w:val="1"/>
                <w:smallCaps w:val="0"/>
                <w:strike w:val="0"/>
                <w:color w:val="939598"/>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2" w:right="0" w:firstLine="0"/>
              <w:jc w:val="left"/>
              <w:rPr>
                <w:rFonts w:ascii="Calibri" w:cs="Calibri" w:eastAsia="Calibri" w:hAnsi="Calibri"/>
                <w:b w:val="0"/>
                <w:i w:val="1"/>
                <w:smallCaps w:val="0"/>
                <w:strike w:val="0"/>
                <w:color w:val="939598"/>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2" w:right="0" w:firstLine="0"/>
              <w:jc w:val="left"/>
              <w:rPr>
                <w:rFonts w:ascii="Calibri" w:cs="Calibri" w:eastAsia="Calibri" w:hAnsi="Calibri"/>
                <w:b w:val="0"/>
                <w:i w:val="1"/>
                <w:smallCaps w:val="0"/>
                <w:strike w:val="0"/>
                <w:color w:val="939598"/>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2" w:right="0" w:firstLine="0"/>
              <w:jc w:val="left"/>
              <w:rPr>
                <w:rFonts w:ascii="Calibri" w:cs="Calibri" w:eastAsia="Calibri" w:hAnsi="Calibri"/>
                <w:b w:val="0"/>
                <w:i w:val="1"/>
                <w:smallCaps w:val="0"/>
                <w:strike w:val="0"/>
                <w:color w:val="939598"/>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2" w:right="0" w:firstLine="0"/>
              <w:jc w:val="left"/>
              <w:rPr>
                <w:rFonts w:ascii="Calibri" w:cs="Calibri" w:eastAsia="Calibri" w:hAnsi="Calibri"/>
                <w:b w:val="0"/>
                <w:i w:val="1"/>
                <w:smallCaps w:val="0"/>
                <w:strike w:val="0"/>
                <w:color w:val="939598"/>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2" w:right="0" w:firstLine="0"/>
              <w:jc w:val="left"/>
              <w:rPr>
                <w:rFonts w:ascii="Calibri" w:cs="Calibri" w:eastAsia="Calibri" w:hAnsi="Calibri"/>
                <w:b w:val="0"/>
                <w:i w:val="1"/>
                <w:smallCaps w:val="0"/>
                <w:strike w:val="0"/>
                <w:color w:val="939598"/>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2" w:right="0" w:firstLine="0"/>
              <w:jc w:val="left"/>
              <w:rPr>
                <w:rFonts w:ascii="Calibri" w:cs="Calibri" w:eastAsia="Calibri" w:hAnsi="Calibri"/>
                <w:b w:val="0"/>
                <w:i w:val="1"/>
                <w:smallCaps w:val="0"/>
                <w:strike w:val="0"/>
                <w:color w:val="939598"/>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2" w:right="0" w:firstLine="0"/>
              <w:jc w:val="left"/>
              <w:rPr>
                <w:rFonts w:ascii="Calibri" w:cs="Calibri" w:eastAsia="Calibri" w:hAnsi="Calibri"/>
                <w:b w:val="0"/>
                <w:i w:val="1"/>
                <w:smallCaps w:val="0"/>
                <w:strike w:val="0"/>
                <w:color w:val="939598"/>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2" w:right="0" w:firstLine="0"/>
              <w:jc w:val="left"/>
              <w:rPr>
                <w:rFonts w:ascii="Calibri" w:cs="Calibri" w:eastAsia="Calibri" w:hAnsi="Calibri"/>
                <w:b w:val="0"/>
                <w:i w:val="1"/>
                <w:smallCaps w:val="0"/>
                <w:strike w:val="0"/>
                <w:color w:val="939598"/>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2" w:right="0" w:firstLine="0"/>
              <w:jc w:val="left"/>
              <w:rPr>
                <w:rFonts w:ascii="Calibri" w:cs="Calibri" w:eastAsia="Calibri" w:hAnsi="Calibri"/>
                <w:b w:val="0"/>
                <w:i w:val="1"/>
                <w:smallCaps w:val="0"/>
                <w:strike w:val="0"/>
                <w:color w:val="939598"/>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2" w:right="0" w:firstLine="0"/>
              <w:jc w:val="left"/>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2" w:right="0" w:firstLine="0"/>
              <w:jc w:val="left"/>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tc>
      </w:tr>
      <w:tr>
        <w:trPr>
          <w:trHeight w:val="842" w:hRule="atLeast"/>
        </w:trPr>
        <w:tc>
          <w:tcPr>
            <w:tcBorders>
              <w:top w:color="231f20" w:space="0" w:sz="12" w:val="single"/>
              <w:left w:color="231f20" w:space="0" w:sz="12" w:val="single"/>
              <w:bottom w:color="231f20" w:space="0" w:sz="12" w:val="single"/>
              <w:right w:color="231f20" w:space="0" w:sz="12" w:val="single"/>
            </w:tcBorders>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Imágenes de respaldo</w:t>
            </w:r>
          </w:p>
        </w:tc>
        <w:tc>
          <w:tcPr>
            <w:gridSpan w:val="2"/>
            <w:tcBorders>
              <w:top w:color="231f20" w:space="0" w:sz="12" w:val="single"/>
              <w:left w:color="231f20" w:space="0" w:sz="12" w:val="single"/>
              <w:bottom w:color="231f20" w:space="0" w:sz="12" w:val="single"/>
              <w:right w:color="231f20" w:space="0" w:sz="12" w:val="single"/>
            </w:tcBorders>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2" w:right="0" w:firstLine="0"/>
              <w:jc w:val="left"/>
              <w:rPr>
                <w:rFonts w:ascii="Calibri" w:cs="Calibri" w:eastAsia="Calibri" w:hAnsi="Calibri"/>
                <w:b w:val="0"/>
                <w:i w:val="1"/>
                <w:smallCaps w:val="0"/>
                <w:strike w:val="0"/>
                <w:color w:val="939598"/>
                <w:sz w:val="24"/>
                <w:szCs w:val="24"/>
                <w:u w:val="none"/>
                <w:shd w:fill="auto" w:val="clear"/>
                <w:vertAlign w:val="baseline"/>
              </w:rPr>
            </w:pPr>
            <w:r w:rsidDel="00000000" w:rsidR="00000000" w:rsidRPr="00000000">
              <w:rPr>
                <w:rFonts w:ascii="Calibri" w:cs="Calibri" w:eastAsia="Calibri" w:hAnsi="Calibri"/>
                <w:b w:val="0"/>
                <w:i w:val="1"/>
                <w:smallCaps w:val="0"/>
                <w:strike w:val="0"/>
                <w:color w:val="939598"/>
                <w:sz w:val="24"/>
                <w:szCs w:val="24"/>
                <w:u w:val="none"/>
                <w:shd w:fill="auto" w:val="clear"/>
                <w:vertAlign w:val="baseline"/>
                <w:rtl w:val="0"/>
              </w:rPr>
              <w:t xml:space="preserve">Se elabora una selección de las imágenes más relevantes del documento que digan relación con el problema identificado. Pueden ser del texto analizado o elaborado directamente por los alumnos.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2" w:right="0" w:firstLine="0"/>
              <w:jc w:val="left"/>
              <w:rPr>
                <w:rFonts w:ascii="Calibri" w:cs="Calibri" w:eastAsia="Calibri" w:hAnsi="Calibri"/>
                <w:b w:val="0"/>
                <w:i w:val="1"/>
                <w:smallCaps w:val="0"/>
                <w:strike w:val="0"/>
                <w:color w:val="939598"/>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2" w:right="0" w:firstLine="0"/>
              <w:jc w:val="left"/>
              <w:rPr>
                <w:rFonts w:ascii="Calibri" w:cs="Calibri" w:eastAsia="Calibri" w:hAnsi="Calibri"/>
                <w:b w:val="0"/>
                <w:i w:val="1"/>
                <w:smallCaps w:val="0"/>
                <w:strike w:val="0"/>
                <w:color w:val="939598"/>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2" w:right="0" w:firstLine="0"/>
              <w:jc w:val="left"/>
              <w:rPr>
                <w:rFonts w:ascii="Calibri" w:cs="Calibri" w:eastAsia="Calibri" w:hAnsi="Calibri"/>
                <w:b w:val="0"/>
                <w:i w:val="1"/>
                <w:smallCaps w:val="0"/>
                <w:strike w:val="0"/>
                <w:color w:val="939598"/>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2" w:right="0" w:firstLine="0"/>
              <w:jc w:val="left"/>
              <w:rPr>
                <w:rFonts w:ascii="Calibri" w:cs="Calibri" w:eastAsia="Calibri" w:hAnsi="Calibri"/>
                <w:b w:val="0"/>
                <w:i w:val="1"/>
                <w:smallCaps w:val="0"/>
                <w:strike w:val="0"/>
                <w:color w:val="939598"/>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2" w:right="0" w:firstLine="0"/>
              <w:jc w:val="left"/>
              <w:rPr>
                <w:rFonts w:ascii="Calibri" w:cs="Calibri" w:eastAsia="Calibri" w:hAnsi="Calibri"/>
                <w:b w:val="0"/>
                <w:i w:val="1"/>
                <w:smallCaps w:val="0"/>
                <w:strike w:val="0"/>
                <w:color w:val="939598"/>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2" w:right="0" w:firstLine="0"/>
              <w:jc w:val="left"/>
              <w:rPr>
                <w:rFonts w:ascii="Calibri" w:cs="Calibri" w:eastAsia="Calibri" w:hAnsi="Calibri"/>
                <w:b w:val="0"/>
                <w:i w:val="1"/>
                <w:smallCaps w:val="0"/>
                <w:strike w:val="0"/>
                <w:color w:val="939598"/>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2" w:right="0" w:firstLine="0"/>
              <w:jc w:val="left"/>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2" w:right="0" w:firstLine="0"/>
              <w:jc w:val="left"/>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3B">
      <w:pPr>
        <w:spacing w:after="0" w:line="240" w:lineRule="auto"/>
        <w:rPr/>
      </w:pPr>
      <w:r w:rsidDel="00000000" w:rsidR="00000000" w:rsidRPr="00000000">
        <w:rPr>
          <w:rtl w:val="0"/>
        </w:rPr>
      </w:r>
    </w:p>
    <w:sectPr>
      <w:headerReference r:id="rId7" w:type="default"/>
      <w:pgSz w:h="15840" w:w="12240" w:orient="portrait"/>
      <w:pgMar w:bottom="1134" w:top="1134" w:left="1134"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CURSO VIVIENDA COLECTIVA: PATRIMONIO A REHABILITAR</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FACULTAD DE ARQUITECTURA Y URBANISMO. UNIVERSIDAD DE CHILE. SEGUNDO SEMESTRE 2020</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E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4C012B"/>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uiPriority w:val="2"/>
    <w:semiHidden w:val="1"/>
    <w:unhideWhenUsed w:val="1"/>
    <w:qFormat w:val="1"/>
    <w:rsid w:val="004C012B"/>
    <w:pPr>
      <w:widowControl w:val="0"/>
      <w:autoSpaceDE w:val="0"/>
      <w:autoSpaceDN w:val="0"/>
      <w:spacing w:after="0" w:line="240" w:lineRule="auto"/>
    </w:pPr>
    <w:rPr>
      <w:lang w:val="en-US"/>
    </w:rPr>
    <w:tblPr>
      <w:tblInd w:w="0.0" w:type="dxa"/>
      <w:tblCellMar>
        <w:top w:w="0.0" w:type="dxa"/>
        <w:left w:w="0.0" w:type="dxa"/>
        <w:bottom w:w="0.0" w:type="dxa"/>
        <w:right w:w="0.0" w:type="dxa"/>
      </w:tblCellMar>
    </w:tblPr>
  </w:style>
  <w:style w:type="paragraph" w:styleId="TableParagraph" w:customStyle="1">
    <w:name w:val="Table Paragraph"/>
    <w:basedOn w:val="Normal"/>
    <w:uiPriority w:val="1"/>
    <w:qFormat w:val="1"/>
    <w:rsid w:val="004C012B"/>
    <w:pPr>
      <w:widowControl w:val="0"/>
      <w:autoSpaceDE w:val="0"/>
      <w:autoSpaceDN w:val="0"/>
      <w:spacing w:after="0" w:line="240" w:lineRule="auto"/>
    </w:pPr>
    <w:rPr>
      <w:rFonts w:ascii="Times New Roman" w:cs="Times New Roman" w:eastAsia="Times New Roman" w:hAnsi="Times New Roman"/>
      <w:lang w:val="es-ES"/>
    </w:rPr>
  </w:style>
  <w:style w:type="paragraph" w:styleId="Encabezado">
    <w:name w:val="header"/>
    <w:basedOn w:val="Normal"/>
    <w:link w:val="EncabezadoCar"/>
    <w:uiPriority w:val="99"/>
    <w:unhideWhenUsed w:val="1"/>
    <w:rsid w:val="00C65C8D"/>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C65C8D"/>
  </w:style>
  <w:style w:type="paragraph" w:styleId="Piedepgina">
    <w:name w:val="footer"/>
    <w:basedOn w:val="Normal"/>
    <w:link w:val="PiedepginaCar"/>
    <w:uiPriority w:val="99"/>
    <w:unhideWhenUsed w:val="1"/>
    <w:rsid w:val="00C65C8D"/>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C65C8D"/>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widowControl w:val="0"/>
      <w:spacing w:after="0" w:line="240" w:lineRule="auto"/>
    </w:pPr>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6IpQycJSVAhXb0T2RMGJsJL/3Q==">AMUW2mXpleHzudMxBlFQERuG2rtoEFFUPKpDIc1gAyhfJR02K2AhJMX3/NC+Cn4oft0SKoQRTWj3T5eYl2rl3rPy1OnyqkwfdSRcYJstkb6ztzbYhRAUyEM=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2020-11-18T00:26:00Z</dcterms:created>
  <dc:creator>Mario Ferrada</dc:creator>
</cp:coreProperties>
</file>